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D16619">
      <w:pPr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附</w:t>
      </w:r>
      <w:r>
        <w:rPr>
          <w:rFonts w:hint="eastAsia" w:ascii="Times New Roman" w:hAnsi="Times New Roman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cs="Times New Roman"/>
          <w:b/>
          <w:bCs/>
          <w:sz w:val="21"/>
          <w:szCs w:val="21"/>
        </w:rPr>
        <w:t xml:space="preserve">  地表水环境影响评价自查表</w:t>
      </w:r>
    </w:p>
    <w:tbl>
      <w:tblPr>
        <w:tblStyle w:val="4"/>
        <w:tblW w:w="1474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"/>
        <w:gridCol w:w="3726"/>
        <w:gridCol w:w="2106"/>
        <w:gridCol w:w="2105"/>
        <w:gridCol w:w="2106"/>
        <w:gridCol w:w="2106"/>
        <w:gridCol w:w="2106"/>
      </w:tblGrid>
      <w:tr w14:paraId="019AAEF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11" w:type="dxa"/>
            <w:gridSpan w:val="2"/>
            <w:tcBorders>
              <w:tl2br w:val="nil"/>
              <w:tr2bl w:val="nil"/>
            </w:tcBorders>
            <w:vAlign w:val="center"/>
          </w:tcPr>
          <w:p w14:paraId="3A8BC0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工作内容</w:t>
            </w:r>
          </w:p>
        </w:tc>
        <w:tc>
          <w:tcPr>
            <w:tcW w:w="10529" w:type="dxa"/>
            <w:gridSpan w:val="5"/>
            <w:tcBorders>
              <w:tl2br w:val="nil"/>
              <w:tr2bl w:val="nil"/>
            </w:tcBorders>
            <w:vAlign w:val="center"/>
          </w:tcPr>
          <w:p w14:paraId="3B8DF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eastAsiaTheme="majorEastAsia"/>
                <w:sz w:val="21"/>
                <w:szCs w:val="21"/>
              </w:rPr>
              <w:t>湖南悦烨生态农业科技有限公司原种繁育基地项目</w:t>
            </w:r>
          </w:p>
        </w:tc>
      </w:tr>
      <w:tr w14:paraId="41A6AF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restart"/>
            <w:tcBorders>
              <w:tl2br w:val="nil"/>
              <w:tr2bl w:val="nil"/>
            </w:tcBorders>
            <w:vAlign w:val="center"/>
          </w:tcPr>
          <w:p w14:paraId="4DC197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影响识别</w:t>
            </w:r>
          </w:p>
        </w:tc>
        <w:tc>
          <w:tcPr>
            <w:tcW w:w="3726" w:type="dxa"/>
            <w:tcBorders>
              <w:tl2br w:val="nil"/>
              <w:tr2bl w:val="nil"/>
            </w:tcBorders>
            <w:vAlign w:val="center"/>
          </w:tcPr>
          <w:p w14:paraId="5FADE3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影响类型</w:t>
            </w:r>
          </w:p>
        </w:tc>
        <w:tc>
          <w:tcPr>
            <w:tcW w:w="10529" w:type="dxa"/>
            <w:gridSpan w:val="5"/>
            <w:tcBorders>
              <w:tl2br w:val="nil"/>
              <w:tr2bl w:val="nil"/>
            </w:tcBorders>
            <w:vAlign w:val="center"/>
          </w:tcPr>
          <w:p w14:paraId="3AAA0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水污染影响型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☑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；水文要素影响型□</w:t>
            </w:r>
          </w:p>
        </w:tc>
      </w:tr>
      <w:tr w14:paraId="6EEC54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3082FC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tcBorders>
              <w:tl2br w:val="nil"/>
              <w:tr2bl w:val="nil"/>
            </w:tcBorders>
            <w:vAlign w:val="center"/>
          </w:tcPr>
          <w:p w14:paraId="2839A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水环境保护目标</w:t>
            </w:r>
          </w:p>
        </w:tc>
        <w:tc>
          <w:tcPr>
            <w:tcW w:w="10529" w:type="dxa"/>
            <w:gridSpan w:val="5"/>
            <w:tcBorders>
              <w:tl2br w:val="nil"/>
              <w:tr2bl w:val="nil"/>
            </w:tcBorders>
            <w:vAlign w:val="center"/>
          </w:tcPr>
          <w:p w14:paraId="537808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饮用水水源保护区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；饮用水取水口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；涉水的自然保护区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；涉水的风景名胜区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；重要湿地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；重点保护与珍稀水生生物的栖息地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；重要水生生物的自然产卵场及索饵场、越冬场和洄游通道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；天然渔场等渔业水体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；水产种质资源保护区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；其他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</w:p>
        </w:tc>
      </w:tr>
      <w:tr w14:paraId="0A64FE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736EED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vMerge w:val="restart"/>
            <w:tcBorders>
              <w:tl2br w:val="nil"/>
              <w:tr2bl w:val="nil"/>
            </w:tcBorders>
            <w:vAlign w:val="center"/>
          </w:tcPr>
          <w:p w14:paraId="08F402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影响途径</w:t>
            </w:r>
          </w:p>
        </w:tc>
        <w:tc>
          <w:tcPr>
            <w:tcW w:w="6317" w:type="dxa"/>
            <w:gridSpan w:val="3"/>
            <w:tcBorders>
              <w:tl2br w:val="nil"/>
              <w:tr2bl w:val="nil"/>
            </w:tcBorders>
            <w:vAlign w:val="center"/>
          </w:tcPr>
          <w:p w14:paraId="2AA833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水污染影响型</w:t>
            </w:r>
          </w:p>
        </w:tc>
        <w:tc>
          <w:tcPr>
            <w:tcW w:w="4212" w:type="dxa"/>
            <w:gridSpan w:val="2"/>
            <w:tcBorders>
              <w:tl2br w:val="nil"/>
              <w:tr2bl w:val="nil"/>
            </w:tcBorders>
            <w:vAlign w:val="center"/>
          </w:tcPr>
          <w:p w14:paraId="7EEF4A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水文要素影响型</w:t>
            </w:r>
          </w:p>
        </w:tc>
      </w:tr>
      <w:tr w14:paraId="0B54C0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29655A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vMerge w:val="continue"/>
            <w:tcBorders>
              <w:tl2br w:val="nil"/>
              <w:tr2bl w:val="nil"/>
            </w:tcBorders>
            <w:vAlign w:val="center"/>
          </w:tcPr>
          <w:p w14:paraId="39E87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6317" w:type="dxa"/>
            <w:gridSpan w:val="3"/>
            <w:tcBorders>
              <w:tl2br w:val="nil"/>
              <w:tr2bl w:val="nil"/>
            </w:tcBorders>
            <w:vAlign w:val="center"/>
          </w:tcPr>
          <w:p w14:paraId="65C54E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直接排放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color w:val="auto"/>
                <w:sz w:val="21"/>
                <w:szCs w:val="21"/>
              </w:rPr>
              <w:t>；间接排放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☑</w:t>
            </w:r>
            <w:r>
              <w:rPr>
                <w:rFonts w:hint="eastAsia"/>
                <w:color w:val="auto"/>
                <w:sz w:val="21"/>
                <w:szCs w:val="21"/>
              </w:rPr>
              <w:t>；其他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</w:p>
        </w:tc>
        <w:tc>
          <w:tcPr>
            <w:tcW w:w="4212" w:type="dxa"/>
            <w:gridSpan w:val="2"/>
            <w:tcBorders>
              <w:tl2br w:val="nil"/>
              <w:tr2bl w:val="nil"/>
            </w:tcBorders>
            <w:vAlign w:val="center"/>
          </w:tcPr>
          <w:p w14:paraId="56746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水温□；径流□；水域面积□</w:t>
            </w:r>
          </w:p>
        </w:tc>
      </w:tr>
      <w:tr w14:paraId="7A6AA3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07B031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tcBorders>
              <w:tl2br w:val="nil"/>
              <w:tr2bl w:val="nil"/>
            </w:tcBorders>
            <w:vAlign w:val="center"/>
          </w:tcPr>
          <w:p w14:paraId="3BC3B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影响因子</w:t>
            </w:r>
          </w:p>
        </w:tc>
        <w:tc>
          <w:tcPr>
            <w:tcW w:w="6317" w:type="dxa"/>
            <w:gridSpan w:val="3"/>
            <w:tcBorders>
              <w:tl2br w:val="nil"/>
              <w:tr2bl w:val="nil"/>
            </w:tcBorders>
            <w:vAlign w:val="center"/>
          </w:tcPr>
          <w:p w14:paraId="5B1EEE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持久性污染物□；有毒有害污染物□；非持久性污染物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☑</w:t>
            </w:r>
            <w:r>
              <w:rPr>
                <w:rFonts w:hint="eastAsia"/>
                <w:color w:val="auto"/>
                <w:sz w:val="21"/>
                <w:szCs w:val="21"/>
              </w:rPr>
              <w:t>；</w:t>
            </w:r>
          </w:p>
          <w:p w14:paraId="50F1B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pH</w:t>
            </w:r>
            <w:r>
              <w:rPr>
                <w:rFonts w:hint="eastAsia"/>
                <w:color w:val="auto"/>
                <w:sz w:val="21"/>
                <w:szCs w:val="21"/>
              </w:rPr>
              <w:t>值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☑</w:t>
            </w:r>
            <w:r>
              <w:rPr>
                <w:rFonts w:hint="eastAsia"/>
                <w:color w:val="auto"/>
                <w:sz w:val="21"/>
                <w:szCs w:val="21"/>
              </w:rPr>
              <w:t>；热污染□；富营养化□；其他□</w:t>
            </w:r>
          </w:p>
        </w:tc>
        <w:tc>
          <w:tcPr>
            <w:tcW w:w="4212" w:type="dxa"/>
            <w:gridSpan w:val="2"/>
            <w:tcBorders>
              <w:tl2br w:val="nil"/>
              <w:tr2bl w:val="nil"/>
            </w:tcBorders>
            <w:vAlign w:val="center"/>
          </w:tcPr>
          <w:p w14:paraId="68370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水温□；水位（水深）□；流速□；流量□；其他□</w:t>
            </w:r>
          </w:p>
        </w:tc>
      </w:tr>
      <w:tr w14:paraId="360E2F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1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4DC057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评价等级</w:t>
            </w:r>
          </w:p>
        </w:tc>
        <w:tc>
          <w:tcPr>
            <w:tcW w:w="6317" w:type="dxa"/>
            <w:gridSpan w:val="3"/>
            <w:tcBorders>
              <w:tl2br w:val="nil"/>
              <w:tr2bl w:val="nil"/>
            </w:tcBorders>
            <w:vAlign w:val="center"/>
          </w:tcPr>
          <w:p w14:paraId="7EEEB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水污染影响型</w:t>
            </w:r>
          </w:p>
        </w:tc>
        <w:tc>
          <w:tcPr>
            <w:tcW w:w="4212" w:type="dxa"/>
            <w:gridSpan w:val="2"/>
            <w:tcBorders>
              <w:tl2br w:val="nil"/>
              <w:tr2bl w:val="nil"/>
            </w:tcBorders>
            <w:vAlign w:val="center"/>
          </w:tcPr>
          <w:p w14:paraId="7AA5F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水文要素影响型</w:t>
            </w:r>
          </w:p>
        </w:tc>
      </w:tr>
      <w:tr w14:paraId="1B5CCA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7F710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6317" w:type="dxa"/>
            <w:gridSpan w:val="3"/>
            <w:tcBorders>
              <w:tl2br w:val="nil"/>
              <w:tr2bl w:val="nil"/>
            </w:tcBorders>
            <w:vAlign w:val="center"/>
          </w:tcPr>
          <w:p w14:paraId="59720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一级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；二级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；三级A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；三级B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☑</w:t>
            </w:r>
          </w:p>
        </w:tc>
        <w:tc>
          <w:tcPr>
            <w:tcW w:w="4212" w:type="dxa"/>
            <w:gridSpan w:val="2"/>
            <w:tcBorders>
              <w:tl2br w:val="nil"/>
              <w:tr2bl w:val="nil"/>
            </w:tcBorders>
            <w:vAlign w:val="center"/>
          </w:tcPr>
          <w:p w14:paraId="373690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一级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；二级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；三级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</w:p>
        </w:tc>
      </w:tr>
      <w:tr w14:paraId="72659B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tcBorders>
              <w:tl2br w:val="nil"/>
              <w:tr2bl w:val="nil"/>
            </w:tcBorders>
            <w:vAlign w:val="center"/>
          </w:tcPr>
          <w:p w14:paraId="5F32B2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vMerge w:val="restart"/>
            <w:tcBorders>
              <w:tl2br w:val="nil"/>
              <w:tr2bl w:val="nil"/>
            </w:tcBorders>
            <w:vAlign w:val="center"/>
          </w:tcPr>
          <w:p w14:paraId="32AFD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区域污染源</w:t>
            </w:r>
          </w:p>
        </w:tc>
        <w:tc>
          <w:tcPr>
            <w:tcW w:w="6317" w:type="dxa"/>
            <w:gridSpan w:val="3"/>
            <w:tcBorders>
              <w:tl2br w:val="nil"/>
              <w:tr2bl w:val="nil"/>
            </w:tcBorders>
            <w:vAlign w:val="center"/>
          </w:tcPr>
          <w:p w14:paraId="3E716B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调查项目</w:t>
            </w:r>
          </w:p>
        </w:tc>
        <w:tc>
          <w:tcPr>
            <w:tcW w:w="4212" w:type="dxa"/>
            <w:gridSpan w:val="2"/>
            <w:tcBorders>
              <w:tl2br w:val="nil"/>
              <w:tr2bl w:val="nil"/>
            </w:tcBorders>
            <w:vAlign w:val="center"/>
          </w:tcPr>
          <w:p w14:paraId="6AB86D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数据来源</w:t>
            </w:r>
          </w:p>
        </w:tc>
      </w:tr>
      <w:tr w14:paraId="291DBA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tcBorders>
              <w:tl2br w:val="nil"/>
              <w:tr2bl w:val="nil"/>
            </w:tcBorders>
            <w:vAlign w:val="center"/>
          </w:tcPr>
          <w:p w14:paraId="25B628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vMerge w:val="continue"/>
            <w:tcBorders>
              <w:tl2br w:val="nil"/>
              <w:tr2bl w:val="nil"/>
            </w:tcBorders>
            <w:vAlign w:val="center"/>
          </w:tcPr>
          <w:p w14:paraId="6B858C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4211" w:type="dxa"/>
            <w:gridSpan w:val="2"/>
            <w:tcBorders>
              <w:tl2br w:val="nil"/>
              <w:tr2bl w:val="nil"/>
            </w:tcBorders>
            <w:vAlign w:val="center"/>
          </w:tcPr>
          <w:p w14:paraId="03EE21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已建□；在建□；拟建□；</w:t>
            </w:r>
          </w:p>
          <w:p w14:paraId="46053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其他□</w:t>
            </w:r>
          </w:p>
        </w:tc>
        <w:tc>
          <w:tcPr>
            <w:tcW w:w="2106" w:type="dxa"/>
            <w:tcBorders>
              <w:tl2br w:val="nil"/>
              <w:tr2bl w:val="nil"/>
            </w:tcBorders>
            <w:vAlign w:val="center"/>
          </w:tcPr>
          <w:p w14:paraId="211F44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拟替代的污染源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</w:p>
        </w:tc>
        <w:tc>
          <w:tcPr>
            <w:tcW w:w="4212" w:type="dxa"/>
            <w:gridSpan w:val="2"/>
            <w:tcBorders>
              <w:tl2br w:val="nil"/>
              <w:tr2bl w:val="nil"/>
            </w:tcBorders>
            <w:vAlign w:val="center"/>
          </w:tcPr>
          <w:p w14:paraId="40DFE6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排污许可证□；环评□；环保验收□；既有实测□；现场监测□；入河排放口数据□；其他□</w:t>
            </w:r>
          </w:p>
        </w:tc>
      </w:tr>
      <w:tr w14:paraId="3D986C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restart"/>
            <w:tcBorders>
              <w:tl2br w:val="nil"/>
              <w:tr2bl w:val="nil"/>
            </w:tcBorders>
            <w:vAlign w:val="center"/>
          </w:tcPr>
          <w:p w14:paraId="197B3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现状调查</w:t>
            </w:r>
          </w:p>
        </w:tc>
        <w:tc>
          <w:tcPr>
            <w:tcW w:w="3726" w:type="dxa"/>
            <w:vMerge w:val="restart"/>
            <w:tcBorders>
              <w:tl2br w:val="nil"/>
              <w:tr2bl w:val="nil"/>
            </w:tcBorders>
            <w:vAlign w:val="center"/>
          </w:tcPr>
          <w:p w14:paraId="79083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受影响水体水环境质量</w:t>
            </w:r>
          </w:p>
        </w:tc>
        <w:tc>
          <w:tcPr>
            <w:tcW w:w="6317" w:type="dxa"/>
            <w:gridSpan w:val="3"/>
            <w:tcBorders>
              <w:tl2br w:val="nil"/>
              <w:tr2bl w:val="nil"/>
            </w:tcBorders>
            <w:vAlign w:val="center"/>
          </w:tcPr>
          <w:p w14:paraId="419DE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调查时期</w:t>
            </w:r>
          </w:p>
        </w:tc>
        <w:tc>
          <w:tcPr>
            <w:tcW w:w="4212" w:type="dxa"/>
            <w:gridSpan w:val="2"/>
            <w:tcBorders>
              <w:tl2br w:val="nil"/>
              <w:tr2bl w:val="nil"/>
            </w:tcBorders>
            <w:vAlign w:val="center"/>
          </w:tcPr>
          <w:p w14:paraId="05E799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数据来源</w:t>
            </w:r>
          </w:p>
        </w:tc>
      </w:tr>
      <w:tr w14:paraId="5C46C2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7C193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vMerge w:val="continue"/>
            <w:tcBorders>
              <w:tl2br w:val="nil"/>
              <w:tr2bl w:val="nil"/>
            </w:tcBorders>
            <w:vAlign w:val="center"/>
          </w:tcPr>
          <w:p w14:paraId="5F550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6317" w:type="dxa"/>
            <w:gridSpan w:val="3"/>
            <w:tcBorders>
              <w:tl2br w:val="nil"/>
              <w:tr2bl w:val="nil"/>
            </w:tcBorders>
            <w:vAlign w:val="center"/>
          </w:tcPr>
          <w:p w14:paraId="1D5B41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丰水期□；平水期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□</w:t>
            </w:r>
            <w:r>
              <w:rPr>
                <w:rFonts w:hint="eastAsia"/>
                <w:color w:val="auto"/>
                <w:sz w:val="21"/>
                <w:szCs w:val="21"/>
              </w:rPr>
              <w:t>；枯水期</w:t>
            </w:r>
            <w:r>
              <w:rPr>
                <w:rFonts w:hint="eastAsia"/>
                <w:color w:val="auto"/>
                <w:sz w:val="21"/>
                <w:szCs w:val="21"/>
              </w:rPr>
              <w:sym w:font="Wingdings 2" w:char="0052"/>
            </w:r>
            <w:r>
              <w:rPr>
                <w:rFonts w:hint="eastAsia"/>
                <w:color w:val="auto"/>
                <w:sz w:val="21"/>
                <w:szCs w:val="21"/>
              </w:rPr>
              <w:t>；冰封期□春季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  <w:r>
              <w:rPr>
                <w:rFonts w:hint="eastAsia"/>
                <w:color w:val="auto"/>
                <w:sz w:val="21"/>
                <w:szCs w:val="21"/>
              </w:rPr>
              <w:t>；夏季□；秋季□；冬季□</w:t>
            </w:r>
          </w:p>
        </w:tc>
        <w:tc>
          <w:tcPr>
            <w:tcW w:w="4212" w:type="dxa"/>
            <w:gridSpan w:val="2"/>
            <w:tcBorders>
              <w:tl2br w:val="nil"/>
              <w:tr2bl w:val="nil"/>
            </w:tcBorders>
            <w:vAlign w:val="center"/>
          </w:tcPr>
          <w:p w14:paraId="6CCF7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生态环境保护主管部门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color w:val="auto"/>
                <w:sz w:val="21"/>
                <w:szCs w:val="21"/>
              </w:rPr>
              <w:t>；补充监测</w:t>
            </w:r>
            <w:bookmarkStart w:id="0" w:name="_GoBack"/>
            <w:bookmarkEnd w:id="0"/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☑</w:t>
            </w:r>
            <w:r>
              <w:rPr>
                <w:rFonts w:hint="eastAsia"/>
                <w:color w:val="auto"/>
                <w:sz w:val="21"/>
                <w:szCs w:val="21"/>
              </w:rPr>
              <w:t>；其他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□</w:t>
            </w:r>
          </w:p>
        </w:tc>
      </w:tr>
      <w:tr w14:paraId="5036D9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564EEF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tcBorders>
              <w:tl2br w:val="nil"/>
              <w:tr2bl w:val="nil"/>
            </w:tcBorders>
            <w:vAlign w:val="center"/>
          </w:tcPr>
          <w:p w14:paraId="65B18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区域水资源开发利用状况</w:t>
            </w:r>
          </w:p>
        </w:tc>
        <w:tc>
          <w:tcPr>
            <w:tcW w:w="10529" w:type="dxa"/>
            <w:gridSpan w:val="5"/>
            <w:tcBorders>
              <w:tl2br w:val="nil"/>
              <w:tr2bl w:val="nil"/>
            </w:tcBorders>
            <w:vAlign w:val="center"/>
          </w:tcPr>
          <w:p w14:paraId="54A17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未开发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□</w:t>
            </w:r>
            <w:r>
              <w:rPr>
                <w:rFonts w:hint="eastAsia"/>
                <w:color w:val="auto"/>
                <w:sz w:val="21"/>
                <w:szCs w:val="21"/>
              </w:rPr>
              <w:t>；开发量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40%以</w:t>
            </w:r>
            <w:r>
              <w:rPr>
                <w:rFonts w:hint="eastAsia"/>
                <w:color w:val="auto"/>
                <w:sz w:val="21"/>
                <w:szCs w:val="21"/>
              </w:rPr>
              <w:t>下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color w:val="auto"/>
                <w:sz w:val="21"/>
                <w:szCs w:val="21"/>
              </w:rPr>
              <w:t>；开发量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40%</w:t>
            </w:r>
            <w:r>
              <w:rPr>
                <w:rFonts w:hint="eastAsia"/>
                <w:color w:val="auto"/>
                <w:sz w:val="21"/>
                <w:szCs w:val="21"/>
              </w:rPr>
              <w:t>以上□</w:t>
            </w:r>
          </w:p>
        </w:tc>
      </w:tr>
      <w:tr w14:paraId="4FFDCE8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42AF7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vMerge w:val="restart"/>
            <w:tcBorders>
              <w:tl2br w:val="nil"/>
              <w:tr2bl w:val="nil"/>
            </w:tcBorders>
            <w:vAlign w:val="center"/>
          </w:tcPr>
          <w:p w14:paraId="1E4BB7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水文情势调查</w:t>
            </w:r>
          </w:p>
        </w:tc>
        <w:tc>
          <w:tcPr>
            <w:tcW w:w="6317" w:type="dxa"/>
            <w:gridSpan w:val="3"/>
            <w:tcBorders>
              <w:tl2br w:val="nil"/>
              <w:tr2bl w:val="nil"/>
            </w:tcBorders>
            <w:vAlign w:val="center"/>
          </w:tcPr>
          <w:p w14:paraId="5B7C24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调查时期</w:t>
            </w:r>
          </w:p>
        </w:tc>
        <w:tc>
          <w:tcPr>
            <w:tcW w:w="4212" w:type="dxa"/>
            <w:gridSpan w:val="2"/>
            <w:tcBorders>
              <w:tl2br w:val="nil"/>
              <w:tr2bl w:val="nil"/>
            </w:tcBorders>
            <w:vAlign w:val="center"/>
          </w:tcPr>
          <w:p w14:paraId="6B196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数据来源</w:t>
            </w:r>
          </w:p>
        </w:tc>
      </w:tr>
      <w:tr w14:paraId="12E19D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197F02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vMerge w:val="continue"/>
            <w:tcBorders>
              <w:tl2br w:val="nil"/>
              <w:tr2bl w:val="nil"/>
            </w:tcBorders>
            <w:vAlign w:val="center"/>
          </w:tcPr>
          <w:p w14:paraId="3DB3A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6317" w:type="dxa"/>
            <w:gridSpan w:val="3"/>
            <w:tcBorders>
              <w:tl2br w:val="nil"/>
              <w:tr2bl w:val="nil"/>
            </w:tcBorders>
            <w:vAlign w:val="center"/>
          </w:tcPr>
          <w:p w14:paraId="3A013A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丰水期□；平水期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  <w:r>
              <w:rPr>
                <w:rFonts w:hint="eastAsia"/>
                <w:color w:val="auto"/>
                <w:sz w:val="21"/>
                <w:szCs w:val="21"/>
              </w:rPr>
              <w:t>；枯水期□；冰封期□春季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  <w:r>
              <w:rPr>
                <w:rFonts w:hint="eastAsia"/>
                <w:color w:val="auto"/>
                <w:sz w:val="21"/>
                <w:szCs w:val="21"/>
              </w:rPr>
              <w:t>；夏季□；秋季□；冬季□</w:t>
            </w:r>
          </w:p>
        </w:tc>
        <w:tc>
          <w:tcPr>
            <w:tcW w:w="4212" w:type="dxa"/>
            <w:gridSpan w:val="2"/>
            <w:tcBorders>
              <w:tl2br w:val="nil"/>
              <w:tr2bl w:val="nil"/>
            </w:tcBorders>
            <w:vAlign w:val="center"/>
          </w:tcPr>
          <w:p w14:paraId="38D4B1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水行政主管部门□；补充监测□；其他□</w:t>
            </w:r>
          </w:p>
        </w:tc>
      </w:tr>
      <w:tr w14:paraId="29392B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4CF461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vMerge w:val="restart"/>
            <w:tcBorders>
              <w:tl2br w:val="nil"/>
              <w:tr2bl w:val="nil"/>
            </w:tcBorders>
            <w:vAlign w:val="center"/>
          </w:tcPr>
          <w:p w14:paraId="65C8C0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补充监测</w:t>
            </w:r>
          </w:p>
        </w:tc>
        <w:tc>
          <w:tcPr>
            <w:tcW w:w="4211" w:type="dxa"/>
            <w:gridSpan w:val="2"/>
            <w:tcBorders>
              <w:tl2br w:val="nil"/>
              <w:tr2bl w:val="nil"/>
            </w:tcBorders>
            <w:vAlign w:val="center"/>
          </w:tcPr>
          <w:p w14:paraId="75B3F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监测时期</w:t>
            </w:r>
          </w:p>
        </w:tc>
        <w:tc>
          <w:tcPr>
            <w:tcW w:w="4212" w:type="dxa"/>
            <w:gridSpan w:val="2"/>
            <w:tcBorders>
              <w:tl2br w:val="nil"/>
              <w:tr2bl w:val="nil"/>
            </w:tcBorders>
            <w:vAlign w:val="center"/>
          </w:tcPr>
          <w:p w14:paraId="725EFB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监测因子</w:t>
            </w:r>
          </w:p>
        </w:tc>
        <w:tc>
          <w:tcPr>
            <w:tcW w:w="2106" w:type="dxa"/>
            <w:tcBorders>
              <w:tl2br w:val="nil"/>
              <w:tr2bl w:val="nil"/>
            </w:tcBorders>
            <w:vAlign w:val="center"/>
          </w:tcPr>
          <w:p w14:paraId="346C36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监测断面或点位</w:t>
            </w:r>
          </w:p>
        </w:tc>
      </w:tr>
      <w:tr w14:paraId="77BF11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0A1C1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vMerge w:val="continue"/>
            <w:tcBorders>
              <w:tl2br w:val="nil"/>
              <w:tr2bl w:val="nil"/>
            </w:tcBorders>
            <w:vAlign w:val="center"/>
          </w:tcPr>
          <w:p w14:paraId="6EDD0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4211" w:type="dxa"/>
            <w:gridSpan w:val="2"/>
            <w:tcBorders>
              <w:tl2br w:val="nil"/>
              <w:tr2bl w:val="nil"/>
            </w:tcBorders>
            <w:vAlign w:val="center"/>
          </w:tcPr>
          <w:p w14:paraId="490F0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丰水期□；平水期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color w:val="auto"/>
                <w:sz w:val="21"/>
                <w:szCs w:val="21"/>
              </w:rPr>
              <w:t>；枯水期</w:t>
            </w:r>
            <w:r>
              <w:rPr>
                <w:rFonts w:hint="eastAsia"/>
                <w:color w:val="auto"/>
                <w:sz w:val="21"/>
                <w:szCs w:val="21"/>
              </w:rPr>
              <w:sym w:font="Wingdings 2" w:char="0052"/>
            </w:r>
            <w:r>
              <w:rPr>
                <w:rFonts w:hint="eastAsia"/>
                <w:color w:val="auto"/>
                <w:sz w:val="21"/>
                <w:szCs w:val="21"/>
              </w:rPr>
              <w:t>；冰封期□春季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color w:val="auto"/>
                <w:sz w:val="21"/>
                <w:szCs w:val="21"/>
              </w:rPr>
              <w:t>；夏季□；秋季□；冬季</w:t>
            </w:r>
            <w:r>
              <w:rPr>
                <w:rFonts w:hint="eastAsia"/>
                <w:color w:val="auto"/>
                <w:sz w:val="21"/>
                <w:szCs w:val="21"/>
              </w:rPr>
              <w:sym w:font="Wingdings 2" w:char="0052"/>
            </w:r>
          </w:p>
        </w:tc>
        <w:tc>
          <w:tcPr>
            <w:tcW w:w="4212" w:type="dxa"/>
            <w:gridSpan w:val="2"/>
            <w:tcBorders>
              <w:tl2br w:val="nil"/>
              <w:tr2bl w:val="nil"/>
            </w:tcBorders>
            <w:vAlign w:val="center"/>
          </w:tcPr>
          <w:p w14:paraId="0DA9C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auto"/>
                <w:highlight w:val="none"/>
                <w:u w:val="none" w:color="auto"/>
                <w:lang w:val="en-US" w:eastAsia="zh-CN"/>
              </w:rPr>
              <w:t>水温、pH值、SS、BOD</w:t>
            </w:r>
            <w:r>
              <w:rPr>
                <w:rFonts w:hint="default" w:ascii="Times New Roman" w:hAnsi="Times New Roman" w:eastAsia="宋体" w:cs="Times New Roman"/>
                <w:color w:val="auto"/>
                <w:highlight w:val="none"/>
                <w:u w:val="none" w:color="auto"/>
                <w:vertAlign w:val="subscript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auto"/>
                <w:highlight w:val="none"/>
                <w:u w:val="none" w:color="auto"/>
                <w:lang w:val="en-US" w:eastAsia="zh-CN"/>
              </w:rPr>
              <w:t>、COD</w:t>
            </w:r>
            <w:r>
              <w:rPr>
                <w:rFonts w:hint="default" w:ascii="Times New Roman" w:hAnsi="Times New Roman" w:eastAsia="宋体" w:cs="Times New Roman"/>
                <w:color w:val="auto"/>
                <w:highlight w:val="none"/>
                <w:u w:val="none" w:color="auto"/>
                <w:vertAlign w:val="subscript"/>
                <w:lang w:val="en-US" w:eastAsia="zh-CN"/>
              </w:rPr>
              <w:t>cr</w:t>
            </w:r>
            <w:r>
              <w:rPr>
                <w:rFonts w:hint="default" w:ascii="Times New Roman" w:hAnsi="Times New Roman" w:eastAsia="宋体" w:cs="Times New Roman"/>
                <w:color w:val="auto"/>
                <w:highlight w:val="none"/>
                <w:u w:val="none" w:color="auto"/>
                <w:lang w:val="en-US" w:eastAsia="zh-CN"/>
              </w:rPr>
              <w:t>、阴离子表面活性剂、氯化物、硫化物、全盐量、总铅、总镉、铬（六价）、总汞、总砷、粪大肠菌群、蛔虫卵数、氨氮、总氮、总磷、动植物油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）</w:t>
            </w:r>
          </w:p>
        </w:tc>
        <w:tc>
          <w:tcPr>
            <w:tcW w:w="2106" w:type="dxa"/>
            <w:tcBorders>
              <w:tl2br w:val="nil"/>
              <w:tr2bl w:val="nil"/>
            </w:tcBorders>
            <w:vAlign w:val="center"/>
          </w:tcPr>
          <w:p w14:paraId="567B5E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监测断面或点位个数</w:t>
            </w:r>
          </w:p>
          <w:p w14:paraId="6C45C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）个</w:t>
            </w:r>
          </w:p>
        </w:tc>
      </w:tr>
      <w:tr w14:paraId="5AF7D9B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restart"/>
            <w:tcBorders>
              <w:tl2br w:val="nil"/>
              <w:tr2bl w:val="nil"/>
            </w:tcBorders>
            <w:vAlign w:val="center"/>
          </w:tcPr>
          <w:p w14:paraId="5652F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现状评价</w:t>
            </w:r>
          </w:p>
        </w:tc>
        <w:tc>
          <w:tcPr>
            <w:tcW w:w="3726" w:type="dxa"/>
            <w:tcBorders>
              <w:tl2br w:val="nil"/>
              <w:tr2bl w:val="nil"/>
            </w:tcBorders>
            <w:vAlign w:val="center"/>
          </w:tcPr>
          <w:p w14:paraId="7EA27F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评价范围</w:t>
            </w:r>
          </w:p>
        </w:tc>
        <w:tc>
          <w:tcPr>
            <w:tcW w:w="10529" w:type="dxa"/>
            <w:gridSpan w:val="5"/>
            <w:tcBorders>
              <w:tl2br w:val="nil"/>
              <w:tr2bl w:val="nil"/>
            </w:tcBorders>
            <w:vAlign w:val="center"/>
          </w:tcPr>
          <w:p w14:paraId="5CB8E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河流：长度（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color w:val="auto"/>
                <w:sz w:val="21"/>
                <w:szCs w:val="21"/>
              </w:rPr>
              <w:t>）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km</w:t>
            </w:r>
            <w:r>
              <w:rPr>
                <w:rFonts w:hint="eastAsia"/>
                <w:color w:val="auto"/>
                <w:sz w:val="21"/>
                <w:szCs w:val="21"/>
              </w:rPr>
              <w:t>；湖库、河口及近岸海域：面积（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）km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  <w:vertAlign w:val="superscript"/>
              </w:rPr>
              <w:t>2</w:t>
            </w:r>
          </w:p>
        </w:tc>
      </w:tr>
      <w:tr w14:paraId="5DCF4B3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26999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tcBorders>
              <w:tl2br w:val="nil"/>
              <w:tr2bl w:val="nil"/>
            </w:tcBorders>
            <w:vAlign w:val="center"/>
          </w:tcPr>
          <w:p w14:paraId="4800BE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评价因子</w:t>
            </w:r>
          </w:p>
        </w:tc>
        <w:tc>
          <w:tcPr>
            <w:tcW w:w="10529" w:type="dxa"/>
            <w:gridSpan w:val="5"/>
            <w:tcBorders>
              <w:tl2br w:val="nil"/>
              <w:tr2bl w:val="nil"/>
            </w:tcBorders>
            <w:vAlign w:val="center"/>
          </w:tcPr>
          <w:p w14:paraId="6BD5D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auto"/>
                <w:highlight w:val="none"/>
                <w:u w:val="none" w:color="auto"/>
                <w:lang w:val="en-US" w:eastAsia="zh-CN"/>
              </w:rPr>
              <w:t>水温、pH值、SS、BOD</w:t>
            </w:r>
            <w:r>
              <w:rPr>
                <w:rFonts w:hint="default" w:ascii="Times New Roman" w:hAnsi="Times New Roman" w:eastAsia="宋体" w:cs="Times New Roman"/>
                <w:color w:val="auto"/>
                <w:highlight w:val="none"/>
                <w:u w:val="none" w:color="auto"/>
                <w:vertAlign w:val="subscript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auto"/>
                <w:highlight w:val="none"/>
                <w:u w:val="none" w:color="auto"/>
                <w:lang w:val="en-US" w:eastAsia="zh-CN"/>
              </w:rPr>
              <w:t>、COD</w:t>
            </w:r>
            <w:r>
              <w:rPr>
                <w:rFonts w:hint="default" w:ascii="Times New Roman" w:hAnsi="Times New Roman" w:eastAsia="宋体" w:cs="Times New Roman"/>
                <w:color w:val="auto"/>
                <w:highlight w:val="none"/>
                <w:u w:val="none" w:color="auto"/>
                <w:vertAlign w:val="subscript"/>
                <w:lang w:val="en-US" w:eastAsia="zh-CN"/>
              </w:rPr>
              <w:t>cr</w:t>
            </w:r>
            <w:r>
              <w:rPr>
                <w:rFonts w:hint="default" w:ascii="Times New Roman" w:hAnsi="Times New Roman" w:eastAsia="宋体" w:cs="Times New Roman"/>
                <w:color w:val="auto"/>
                <w:highlight w:val="none"/>
                <w:u w:val="none" w:color="auto"/>
                <w:lang w:val="en-US" w:eastAsia="zh-CN"/>
              </w:rPr>
              <w:t>、阴离子表面活性剂、氯化物、硫化物、全盐量、总铅、总镉、铬（六价）、总汞、总砷、粪大肠菌群、蛔虫卵数、氨氮、总氮、总磷、动植物油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）</w:t>
            </w:r>
          </w:p>
        </w:tc>
      </w:tr>
      <w:tr w14:paraId="6B9E944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00714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tcBorders>
              <w:tl2br w:val="nil"/>
              <w:tr2bl w:val="nil"/>
            </w:tcBorders>
            <w:vAlign w:val="center"/>
          </w:tcPr>
          <w:p w14:paraId="406D62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评价标准</w:t>
            </w:r>
          </w:p>
        </w:tc>
        <w:tc>
          <w:tcPr>
            <w:tcW w:w="10529" w:type="dxa"/>
            <w:gridSpan w:val="5"/>
            <w:tcBorders>
              <w:tl2br w:val="nil"/>
              <w:tr2bl w:val="nil"/>
            </w:tcBorders>
            <w:vAlign w:val="center"/>
          </w:tcPr>
          <w:p w14:paraId="06E83E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河流、湖库、河口：Ⅰ类□；Ⅱ类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  <w:r>
              <w:rPr>
                <w:rFonts w:hint="eastAsia"/>
                <w:color w:val="auto"/>
                <w:sz w:val="21"/>
                <w:szCs w:val="21"/>
              </w:rPr>
              <w:t>；Ⅲ类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sym w:font="Wingdings 2" w:char="0052"/>
            </w:r>
            <w:r>
              <w:rPr>
                <w:rFonts w:hint="eastAsia"/>
                <w:color w:val="auto"/>
                <w:sz w:val="21"/>
                <w:szCs w:val="21"/>
              </w:rPr>
              <w:t>；Ⅳ类□；Ⅴ类□</w:t>
            </w:r>
          </w:p>
          <w:p w14:paraId="4DA9C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近岸海域：第一类□；第二类□；第三类□；第四类□</w:t>
            </w:r>
          </w:p>
          <w:p w14:paraId="41E48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规划年评价标准（）</w:t>
            </w:r>
          </w:p>
        </w:tc>
      </w:tr>
      <w:tr w14:paraId="331397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6B450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tcBorders>
              <w:tl2br w:val="nil"/>
              <w:tr2bl w:val="nil"/>
            </w:tcBorders>
            <w:vAlign w:val="center"/>
          </w:tcPr>
          <w:p w14:paraId="29A00F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评价时期</w:t>
            </w:r>
          </w:p>
        </w:tc>
        <w:tc>
          <w:tcPr>
            <w:tcW w:w="10529" w:type="dxa"/>
            <w:gridSpan w:val="5"/>
            <w:tcBorders>
              <w:tl2br w:val="nil"/>
              <w:tr2bl w:val="nil"/>
            </w:tcBorders>
            <w:vAlign w:val="center"/>
          </w:tcPr>
          <w:p w14:paraId="4604C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丰水期□；平水期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；枯水期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sym w:font="Wingdings 2" w:char="0052"/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；冰封期□</w:t>
            </w:r>
          </w:p>
          <w:p w14:paraId="0C1AF2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春季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；夏季□；秋季□；冬季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sym w:font="Wingdings 2" w:char="0052"/>
            </w:r>
          </w:p>
        </w:tc>
      </w:tr>
      <w:tr w14:paraId="5EB242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7A6255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tcBorders>
              <w:tl2br w:val="nil"/>
              <w:tr2bl w:val="nil"/>
            </w:tcBorders>
            <w:vAlign w:val="center"/>
          </w:tcPr>
          <w:p w14:paraId="6428C9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评价结论</w:t>
            </w:r>
          </w:p>
        </w:tc>
        <w:tc>
          <w:tcPr>
            <w:tcW w:w="8423" w:type="dxa"/>
            <w:gridSpan w:val="4"/>
            <w:tcBorders>
              <w:tl2br w:val="nil"/>
              <w:tr2bl w:val="nil"/>
            </w:tcBorders>
            <w:vAlign w:val="center"/>
          </w:tcPr>
          <w:p w14:paraId="7BA0A4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rFonts w:hint="eastAsia" w:asciiTheme="majorEastAsia" w:hAnsiTheme="majorEastAsia" w:eastAsiaTheme="minorEastAsia" w:cs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水环境功能区或水功能区、近岸海域环境功能区水质达标状况：达标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☑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；不达标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□</w:t>
            </w:r>
          </w:p>
          <w:p w14:paraId="38043D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rFonts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水环境控制单元或断面水质达标状况：达标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☑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；不达标□</w:t>
            </w:r>
          </w:p>
          <w:p w14:paraId="63E79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rFonts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水环境保护目标质量状况：达标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；不达标□</w:t>
            </w:r>
          </w:p>
          <w:p w14:paraId="7FE6C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对照断面、控制断面等代表性断面的水质状况：达标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☑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；不达标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eastAsia="zh-CN"/>
              </w:rPr>
              <w:t>□</w:t>
            </w:r>
          </w:p>
          <w:p w14:paraId="50826F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rFonts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底泥污染评价□</w:t>
            </w:r>
          </w:p>
          <w:p w14:paraId="59E87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rFonts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水资源与开发利用程度及其水文情势评价□</w:t>
            </w:r>
          </w:p>
          <w:p w14:paraId="2B3E6F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rFonts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水环境质量回顾评价□</w:t>
            </w:r>
          </w:p>
          <w:p w14:paraId="3AE39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rFonts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流域（区域）水资源（包括水能资源）与开发利用总体状况、生态流量管理要求与现状满足程度、建设项目占用水域空间的水流状况与河湖演变状况□</w:t>
            </w:r>
          </w:p>
          <w:p w14:paraId="7A32B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rFonts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依托污水处理设施稳定达标排放评价□</w:t>
            </w:r>
          </w:p>
        </w:tc>
        <w:tc>
          <w:tcPr>
            <w:tcW w:w="2106" w:type="dxa"/>
            <w:tcBorders>
              <w:tl2br w:val="nil"/>
              <w:tr2bl w:val="nil"/>
            </w:tcBorders>
            <w:vAlign w:val="center"/>
          </w:tcPr>
          <w:p w14:paraId="305F5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ajorEastAsia" w:hAnsiTheme="majorEastAsia" w:eastAsiaTheme="minorEastAsia" w:cs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达标区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☑</w:t>
            </w:r>
          </w:p>
          <w:p w14:paraId="17C71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不达标区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</w:p>
        </w:tc>
      </w:tr>
      <w:tr w14:paraId="63945F4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restart"/>
            <w:tcBorders>
              <w:tl2br w:val="nil"/>
              <w:tr2bl w:val="nil"/>
            </w:tcBorders>
            <w:vAlign w:val="center"/>
          </w:tcPr>
          <w:p w14:paraId="6EC0C2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影响预测</w:t>
            </w:r>
          </w:p>
        </w:tc>
        <w:tc>
          <w:tcPr>
            <w:tcW w:w="3726" w:type="dxa"/>
            <w:tcBorders>
              <w:tl2br w:val="nil"/>
              <w:tr2bl w:val="nil"/>
            </w:tcBorders>
            <w:vAlign w:val="center"/>
          </w:tcPr>
          <w:p w14:paraId="7FC6E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预测范围</w:t>
            </w:r>
          </w:p>
        </w:tc>
        <w:tc>
          <w:tcPr>
            <w:tcW w:w="10529" w:type="dxa"/>
            <w:gridSpan w:val="5"/>
            <w:tcBorders>
              <w:tl2br w:val="nil"/>
              <w:tr2bl w:val="nil"/>
            </w:tcBorders>
            <w:vAlign w:val="center"/>
          </w:tcPr>
          <w:p w14:paraId="59568A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河流：长度（）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km</w:t>
            </w:r>
            <w:r>
              <w:rPr>
                <w:rFonts w:hint="eastAsia"/>
                <w:color w:val="auto"/>
                <w:sz w:val="21"/>
                <w:szCs w:val="21"/>
              </w:rPr>
              <w:t>；湖库、河口及近岸海域：面积（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）km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  <w:vertAlign w:val="superscript"/>
              </w:rPr>
              <w:t>2</w:t>
            </w:r>
          </w:p>
        </w:tc>
      </w:tr>
      <w:tr w14:paraId="0BE5DC8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7F6452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tcBorders>
              <w:tl2br w:val="nil"/>
              <w:tr2bl w:val="nil"/>
            </w:tcBorders>
            <w:vAlign w:val="center"/>
          </w:tcPr>
          <w:p w14:paraId="689FC2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预测因子</w:t>
            </w:r>
          </w:p>
        </w:tc>
        <w:tc>
          <w:tcPr>
            <w:tcW w:w="10529" w:type="dxa"/>
            <w:gridSpan w:val="5"/>
            <w:tcBorders>
              <w:tl2br w:val="nil"/>
              <w:tr2bl w:val="nil"/>
            </w:tcBorders>
            <w:vAlign w:val="center"/>
          </w:tcPr>
          <w:p w14:paraId="51669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（）</w:t>
            </w:r>
          </w:p>
        </w:tc>
      </w:tr>
      <w:tr w14:paraId="64612E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62A5F3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tcBorders>
              <w:tl2br w:val="nil"/>
              <w:tr2bl w:val="nil"/>
            </w:tcBorders>
            <w:vAlign w:val="center"/>
          </w:tcPr>
          <w:p w14:paraId="611FE7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预测时期</w:t>
            </w:r>
          </w:p>
        </w:tc>
        <w:tc>
          <w:tcPr>
            <w:tcW w:w="10529" w:type="dxa"/>
            <w:gridSpan w:val="5"/>
            <w:tcBorders>
              <w:tl2br w:val="nil"/>
              <w:tr2bl w:val="nil"/>
            </w:tcBorders>
            <w:vAlign w:val="center"/>
          </w:tcPr>
          <w:p w14:paraId="45959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丰水期□；平水期□；枯水期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；冰封期□</w:t>
            </w:r>
          </w:p>
          <w:p w14:paraId="08DC3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春季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；夏季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；秋季□；冬季□</w:t>
            </w:r>
          </w:p>
          <w:p w14:paraId="68BA92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设计水文条件□</w:t>
            </w:r>
          </w:p>
        </w:tc>
      </w:tr>
      <w:tr w14:paraId="356013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0A7241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tcBorders>
              <w:tl2br w:val="nil"/>
              <w:tr2bl w:val="nil"/>
            </w:tcBorders>
            <w:vAlign w:val="center"/>
          </w:tcPr>
          <w:p w14:paraId="69E11A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预测背景</w:t>
            </w:r>
          </w:p>
        </w:tc>
        <w:tc>
          <w:tcPr>
            <w:tcW w:w="10529" w:type="dxa"/>
            <w:gridSpan w:val="5"/>
            <w:tcBorders>
              <w:tl2br w:val="nil"/>
              <w:tr2bl w:val="nil"/>
            </w:tcBorders>
            <w:vAlign w:val="center"/>
          </w:tcPr>
          <w:p w14:paraId="4E7849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建设期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；生产运行期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；服务期满后□</w:t>
            </w:r>
          </w:p>
          <w:p w14:paraId="7CDEF3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正常工况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；非正常工况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</w:p>
          <w:p w14:paraId="01C28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污染控制和减缓措施方案□</w:t>
            </w:r>
          </w:p>
          <w:p w14:paraId="1B462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区（流）域环境质量改善目标要求情景□</w:t>
            </w:r>
          </w:p>
        </w:tc>
      </w:tr>
      <w:tr w14:paraId="55A03C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54F029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tcBorders>
              <w:tl2br w:val="nil"/>
              <w:tr2bl w:val="nil"/>
            </w:tcBorders>
            <w:vAlign w:val="center"/>
          </w:tcPr>
          <w:p w14:paraId="0CACBE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预测方法</w:t>
            </w:r>
          </w:p>
        </w:tc>
        <w:tc>
          <w:tcPr>
            <w:tcW w:w="10529" w:type="dxa"/>
            <w:gridSpan w:val="5"/>
            <w:tcBorders>
              <w:tl2br w:val="nil"/>
              <w:tr2bl w:val="nil"/>
            </w:tcBorders>
            <w:vAlign w:val="center"/>
          </w:tcPr>
          <w:p w14:paraId="44D01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数值解□：解析解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；其他□</w:t>
            </w:r>
          </w:p>
          <w:p w14:paraId="0C3D4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导则推荐模式□：其他□</w:t>
            </w:r>
          </w:p>
        </w:tc>
      </w:tr>
      <w:tr w14:paraId="12EFF7A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restart"/>
            <w:tcBorders>
              <w:tl2br w:val="nil"/>
              <w:tr2bl w:val="nil"/>
            </w:tcBorders>
            <w:vAlign w:val="center"/>
          </w:tcPr>
          <w:p w14:paraId="01B2F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影响评价</w:t>
            </w:r>
          </w:p>
        </w:tc>
        <w:tc>
          <w:tcPr>
            <w:tcW w:w="3726" w:type="dxa"/>
            <w:tcBorders>
              <w:tl2br w:val="nil"/>
              <w:tr2bl w:val="nil"/>
            </w:tcBorders>
            <w:vAlign w:val="center"/>
          </w:tcPr>
          <w:p w14:paraId="2E24F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水污染控制和水环境影响减缓措施有效性评价</w:t>
            </w:r>
          </w:p>
        </w:tc>
        <w:tc>
          <w:tcPr>
            <w:tcW w:w="10529" w:type="dxa"/>
            <w:gridSpan w:val="5"/>
            <w:tcBorders>
              <w:tl2br w:val="nil"/>
              <w:tr2bl w:val="nil"/>
            </w:tcBorders>
            <w:vAlign w:val="center"/>
          </w:tcPr>
          <w:p w14:paraId="545BDE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区（流）域水环境质量改善目标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  <w:r>
              <w:rPr>
                <w:rFonts w:hint="eastAsia"/>
                <w:color w:val="auto"/>
                <w:sz w:val="21"/>
                <w:szCs w:val="21"/>
              </w:rPr>
              <w:t>；替代削减源□</w:t>
            </w:r>
          </w:p>
        </w:tc>
      </w:tr>
      <w:tr w14:paraId="6CE2EC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0B926F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tcBorders>
              <w:tl2br w:val="nil"/>
              <w:tr2bl w:val="nil"/>
            </w:tcBorders>
            <w:vAlign w:val="center"/>
          </w:tcPr>
          <w:p w14:paraId="057CCE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水环境影响评价</w:t>
            </w:r>
          </w:p>
        </w:tc>
        <w:tc>
          <w:tcPr>
            <w:tcW w:w="10529" w:type="dxa"/>
            <w:gridSpan w:val="5"/>
            <w:tcBorders>
              <w:tl2br w:val="nil"/>
              <w:tr2bl w:val="nil"/>
            </w:tcBorders>
            <w:vAlign w:val="center"/>
          </w:tcPr>
          <w:p w14:paraId="28F11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排放口混合区外满足水环境管理要求□</w:t>
            </w:r>
          </w:p>
          <w:p w14:paraId="18D79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水环境功能区或水功能区、近岸海域环境功能区水质达标□</w:t>
            </w:r>
          </w:p>
          <w:p w14:paraId="293419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满足水环境保护目标水域水环境质量要求□</w:t>
            </w:r>
          </w:p>
          <w:p w14:paraId="43437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水环境控制单元或断面水质达标□</w:t>
            </w:r>
          </w:p>
          <w:p w14:paraId="5CCBF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满足重点水污染物排放总量控制指标要求，重点行业建设项目，主要污染物排放满足等量或减量替代要求□</w:t>
            </w:r>
          </w:p>
          <w:p w14:paraId="1ABF4D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满足区（流）域水环境质量改善目标要求□</w:t>
            </w:r>
          </w:p>
          <w:p w14:paraId="56ABD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水文要素影响型建设项目同时应包括水文情势变化评价、主要水文特征值影响评价、生态流量符合性评价□</w:t>
            </w:r>
          </w:p>
          <w:p w14:paraId="2083DB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对于新设或调整入河（湖库、近岸海域）排放口的建设项目，应包括排放口设置的环境合理性评价□</w:t>
            </w:r>
          </w:p>
          <w:p w14:paraId="4FF43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满足生态保护红线、水环境质量底线、资源利用上线和环境准入清单管理要求□</w:t>
            </w:r>
          </w:p>
        </w:tc>
      </w:tr>
      <w:tr w14:paraId="069B0AF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12864F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vMerge w:val="restart"/>
            <w:tcBorders>
              <w:tl2br w:val="nil"/>
              <w:tr2bl w:val="nil"/>
            </w:tcBorders>
            <w:vAlign w:val="center"/>
          </w:tcPr>
          <w:p w14:paraId="69ABF0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污染物排放量核算</w:t>
            </w:r>
          </w:p>
        </w:tc>
        <w:tc>
          <w:tcPr>
            <w:tcW w:w="4211" w:type="dxa"/>
            <w:gridSpan w:val="2"/>
            <w:tcBorders>
              <w:tl2br w:val="nil"/>
              <w:tr2bl w:val="nil"/>
            </w:tcBorders>
            <w:vAlign w:val="center"/>
          </w:tcPr>
          <w:p w14:paraId="593AF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污染物名称</w:t>
            </w:r>
          </w:p>
        </w:tc>
        <w:tc>
          <w:tcPr>
            <w:tcW w:w="2106" w:type="dxa"/>
            <w:tcBorders>
              <w:tl2br w:val="nil"/>
              <w:tr2bl w:val="nil"/>
            </w:tcBorders>
            <w:vAlign w:val="center"/>
          </w:tcPr>
          <w:p w14:paraId="0EA996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排放量/（t/a）</w:t>
            </w:r>
          </w:p>
        </w:tc>
        <w:tc>
          <w:tcPr>
            <w:tcW w:w="4212" w:type="dxa"/>
            <w:gridSpan w:val="2"/>
            <w:tcBorders>
              <w:tl2br w:val="nil"/>
              <w:tr2bl w:val="nil"/>
            </w:tcBorders>
            <w:vAlign w:val="center"/>
          </w:tcPr>
          <w:p w14:paraId="4C159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排放浓度/（mg/L）</w:t>
            </w:r>
          </w:p>
        </w:tc>
      </w:tr>
      <w:tr w14:paraId="64AD35B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78101E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vMerge w:val="continue"/>
            <w:tcBorders>
              <w:tl2br w:val="nil"/>
              <w:tr2bl w:val="nil"/>
            </w:tcBorders>
            <w:vAlign w:val="center"/>
          </w:tcPr>
          <w:p w14:paraId="6EB70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4211" w:type="dxa"/>
            <w:gridSpan w:val="2"/>
            <w:tcBorders>
              <w:tl2br w:val="nil"/>
              <w:tr2bl w:val="nil"/>
            </w:tcBorders>
            <w:vAlign w:val="center"/>
          </w:tcPr>
          <w:p w14:paraId="01934D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2106" w:type="dxa"/>
            <w:tcBorders>
              <w:tl2br w:val="nil"/>
              <w:tr2bl w:val="nil"/>
            </w:tcBorders>
            <w:vAlign w:val="center"/>
          </w:tcPr>
          <w:p w14:paraId="4651C6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212" w:type="dxa"/>
            <w:gridSpan w:val="2"/>
            <w:tcBorders>
              <w:tl2br w:val="nil"/>
              <w:tr2bl w:val="nil"/>
            </w:tcBorders>
            <w:vAlign w:val="center"/>
          </w:tcPr>
          <w:p w14:paraId="50EED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</w:tr>
      <w:tr w14:paraId="13B753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72843F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vMerge w:val="continue"/>
            <w:tcBorders>
              <w:tl2br w:val="nil"/>
              <w:tr2bl w:val="nil"/>
            </w:tcBorders>
            <w:vAlign w:val="center"/>
          </w:tcPr>
          <w:p w14:paraId="0FC9C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4211" w:type="dxa"/>
            <w:gridSpan w:val="2"/>
            <w:tcBorders>
              <w:tl2br w:val="nil"/>
              <w:tr2bl w:val="nil"/>
            </w:tcBorders>
            <w:vAlign w:val="center"/>
          </w:tcPr>
          <w:p w14:paraId="6540AC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106" w:type="dxa"/>
            <w:tcBorders>
              <w:tl2br w:val="nil"/>
              <w:tr2bl w:val="nil"/>
            </w:tcBorders>
            <w:vAlign w:val="center"/>
          </w:tcPr>
          <w:p w14:paraId="745AA3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212" w:type="dxa"/>
            <w:gridSpan w:val="2"/>
            <w:tcBorders>
              <w:tl2br w:val="nil"/>
              <w:tr2bl w:val="nil"/>
            </w:tcBorders>
            <w:vAlign w:val="center"/>
          </w:tcPr>
          <w:p w14:paraId="7CD575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36358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1B989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vMerge w:val="restart"/>
            <w:tcBorders>
              <w:tl2br w:val="nil"/>
              <w:tr2bl w:val="nil"/>
            </w:tcBorders>
            <w:vAlign w:val="center"/>
          </w:tcPr>
          <w:p w14:paraId="431F7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替代源排放情况</w:t>
            </w:r>
          </w:p>
        </w:tc>
        <w:tc>
          <w:tcPr>
            <w:tcW w:w="2106" w:type="dxa"/>
            <w:tcBorders>
              <w:tl2br w:val="nil"/>
              <w:tr2bl w:val="nil"/>
            </w:tcBorders>
            <w:vAlign w:val="center"/>
          </w:tcPr>
          <w:p w14:paraId="1A7A3B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污染源名称</w:t>
            </w:r>
          </w:p>
        </w:tc>
        <w:tc>
          <w:tcPr>
            <w:tcW w:w="2105" w:type="dxa"/>
            <w:tcBorders>
              <w:tl2br w:val="nil"/>
              <w:tr2bl w:val="nil"/>
            </w:tcBorders>
            <w:vAlign w:val="center"/>
          </w:tcPr>
          <w:p w14:paraId="3989B5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排污许可证编号</w:t>
            </w:r>
          </w:p>
        </w:tc>
        <w:tc>
          <w:tcPr>
            <w:tcW w:w="2106" w:type="dxa"/>
            <w:tcBorders>
              <w:tl2br w:val="nil"/>
              <w:tr2bl w:val="nil"/>
            </w:tcBorders>
            <w:vAlign w:val="center"/>
          </w:tcPr>
          <w:p w14:paraId="3E4CA1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污染物名称</w:t>
            </w:r>
          </w:p>
        </w:tc>
        <w:tc>
          <w:tcPr>
            <w:tcW w:w="2106" w:type="dxa"/>
            <w:tcBorders>
              <w:tl2br w:val="nil"/>
              <w:tr2bl w:val="nil"/>
            </w:tcBorders>
            <w:vAlign w:val="center"/>
          </w:tcPr>
          <w:p w14:paraId="653F20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排放量/（t/a）</w:t>
            </w:r>
          </w:p>
        </w:tc>
        <w:tc>
          <w:tcPr>
            <w:tcW w:w="2106" w:type="dxa"/>
            <w:tcBorders>
              <w:tl2br w:val="nil"/>
              <w:tr2bl w:val="nil"/>
            </w:tcBorders>
            <w:vAlign w:val="center"/>
          </w:tcPr>
          <w:p w14:paraId="4F38D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排放浓度/（mg/L）</w:t>
            </w:r>
          </w:p>
        </w:tc>
      </w:tr>
      <w:tr w14:paraId="2D92E0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5B719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vMerge w:val="continue"/>
            <w:tcBorders>
              <w:tl2br w:val="nil"/>
              <w:tr2bl w:val="nil"/>
            </w:tcBorders>
            <w:vAlign w:val="center"/>
          </w:tcPr>
          <w:p w14:paraId="2EBCA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2106" w:type="dxa"/>
            <w:tcBorders>
              <w:tl2br w:val="nil"/>
              <w:tr2bl w:val="nil"/>
            </w:tcBorders>
            <w:vAlign w:val="center"/>
          </w:tcPr>
          <w:p w14:paraId="0BA23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（）</w:t>
            </w:r>
          </w:p>
        </w:tc>
        <w:tc>
          <w:tcPr>
            <w:tcW w:w="2105" w:type="dxa"/>
            <w:tcBorders>
              <w:tl2br w:val="nil"/>
              <w:tr2bl w:val="nil"/>
            </w:tcBorders>
            <w:vAlign w:val="center"/>
          </w:tcPr>
          <w:p w14:paraId="3DA0CB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（）</w:t>
            </w:r>
          </w:p>
        </w:tc>
        <w:tc>
          <w:tcPr>
            <w:tcW w:w="2106" w:type="dxa"/>
            <w:tcBorders>
              <w:tl2br w:val="nil"/>
              <w:tr2bl w:val="nil"/>
            </w:tcBorders>
            <w:vAlign w:val="center"/>
          </w:tcPr>
          <w:p w14:paraId="050FE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（）</w:t>
            </w:r>
          </w:p>
        </w:tc>
        <w:tc>
          <w:tcPr>
            <w:tcW w:w="2106" w:type="dxa"/>
            <w:tcBorders>
              <w:tl2br w:val="nil"/>
              <w:tr2bl w:val="nil"/>
            </w:tcBorders>
            <w:vAlign w:val="center"/>
          </w:tcPr>
          <w:p w14:paraId="0B382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（）</w:t>
            </w:r>
          </w:p>
        </w:tc>
        <w:tc>
          <w:tcPr>
            <w:tcW w:w="2106" w:type="dxa"/>
            <w:tcBorders>
              <w:tl2br w:val="nil"/>
              <w:tr2bl w:val="nil"/>
            </w:tcBorders>
            <w:vAlign w:val="center"/>
          </w:tcPr>
          <w:p w14:paraId="556A7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（）</w:t>
            </w:r>
          </w:p>
        </w:tc>
      </w:tr>
      <w:tr w14:paraId="01EBC68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0B934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tcBorders>
              <w:tl2br w:val="nil"/>
              <w:tr2bl w:val="nil"/>
            </w:tcBorders>
            <w:vAlign w:val="center"/>
          </w:tcPr>
          <w:p w14:paraId="36CD21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生态流量确定</w:t>
            </w:r>
          </w:p>
        </w:tc>
        <w:tc>
          <w:tcPr>
            <w:tcW w:w="10529" w:type="dxa"/>
            <w:gridSpan w:val="5"/>
            <w:tcBorders>
              <w:tl2br w:val="nil"/>
              <w:tr2bl w:val="nil"/>
            </w:tcBorders>
            <w:vAlign w:val="center"/>
          </w:tcPr>
          <w:p w14:paraId="51B38E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生态流量：一般水期（）m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/s；鱼类繁殖期（）m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/s；其他（）m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/s</w:t>
            </w:r>
          </w:p>
          <w:p w14:paraId="56358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生态水位：一般水期（）m；鱼类繁殖期（）m；其他（）m</w:t>
            </w:r>
          </w:p>
        </w:tc>
      </w:tr>
      <w:tr w14:paraId="710DB60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restart"/>
            <w:tcBorders>
              <w:tl2br w:val="nil"/>
              <w:tr2bl w:val="nil"/>
            </w:tcBorders>
            <w:vAlign w:val="center"/>
          </w:tcPr>
          <w:p w14:paraId="67490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防治措施</w:t>
            </w:r>
          </w:p>
        </w:tc>
        <w:tc>
          <w:tcPr>
            <w:tcW w:w="3726" w:type="dxa"/>
            <w:tcBorders>
              <w:tl2br w:val="nil"/>
              <w:tr2bl w:val="nil"/>
            </w:tcBorders>
            <w:vAlign w:val="center"/>
          </w:tcPr>
          <w:p w14:paraId="0F774F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环保措施</w:t>
            </w:r>
          </w:p>
        </w:tc>
        <w:tc>
          <w:tcPr>
            <w:tcW w:w="10529" w:type="dxa"/>
            <w:gridSpan w:val="5"/>
            <w:tcBorders>
              <w:tl2br w:val="nil"/>
              <w:tr2bl w:val="nil"/>
            </w:tcBorders>
            <w:vAlign w:val="center"/>
          </w:tcPr>
          <w:p w14:paraId="10D4BB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污水处理设施 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☑</w:t>
            </w:r>
            <w:r>
              <w:rPr>
                <w:rFonts w:hint="eastAsia"/>
                <w:color w:val="auto"/>
                <w:sz w:val="21"/>
                <w:szCs w:val="21"/>
              </w:rPr>
              <w:t xml:space="preserve">；水文减缓设施 □；生态流量保障设施 □；区域削减 □；依托其他工程措施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  <w:r>
              <w:rPr>
                <w:rFonts w:hint="eastAsia"/>
                <w:color w:val="auto"/>
                <w:sz w:val="21"/>
                <w:szCs w:val="21"/>
              </w:rPr>
              <w:t>；其他 □</w:t>
            </w:r>
          </w:p>
        </w:tc>
      </w:tr>
      <w:tr w14:paraId="018272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19794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vMerge w:val="restart"/>
            <w:tcBorders>
              <w:tl2br w:val="nil"/>
              <w:tr2bl w:val="nil"/>
            </w:tcBorders>
            <w:vAlign w:val="center"/>
          </w:tcPr>
          <w:p w14:paraId="33C8D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监测计划</w:t>
            </w:r>
          </w:p>
        </w:tc>
        <w:tc>
          <w:tcPr>
            <w:tcW w:w="2106" w:type="dxa"/>
            <w:tcBorders>
              <w:tl2br w:val="nil"/>
              <w:tr2bl w:val="nil"/>
            </w:tcBorders>
            <w:vAlign w:val="center"/>
          </w:tcPr>
          <w:p w14:paraId="65590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4211" w:type="dxa"/>
            <w:gridSpan w:val="2"/>
            <w:tcBorders>
              <w:tl2br w:val="nil"/>
              <w:tr2bl w:val="nil"/>
            </w:tcBorders>
            <w:vAlign w:val="center"/>
          </w:tcPr>
          <w:p w14:paraId="223A85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环境质量</w:t>
            </w:r>
          </w:p>
        </w:tc>
        <w:tc>
          <w:tcPr>
            <w:tcW w:w="4212" w:type="dxa"/>
            <w:gridSpan w:val="2"/>
            <w:tcBorders>
              <w:tl2br w:val="nil"/>
              <w:tr2bl w:val="nil"/>
            </w:tcBorders>
            <w:vAlign w:val="center"/>
          </w:tcPr>
          <w:p w14:paraId="031B2E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污染源</w:t>
            </w:r>
          </w:p>
        </w:tc>
      </w:tr>
      <w:tr w14:paraId="062A012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5A1DCC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vMerge w:val="continue"/>
            <w:tcBorders>
              <w:tl2br w:val="nil"/>
              <w:tr2bl w:val="nil"/>
            </w:tcBorders>
            <w:vAlign w:val="center"/>
          </w:tcPr>
          <w:p w14:paraId="767443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2106" w:type="dxa"/>
            <w:tcBorders>
              <w:tl2br w:val="nil"/>
              <w:tr2bl w:val="nil"/>
            </w:tcBorders>
            <w:vAlign w:val="center"/>
          </w:tcPr>
          <w:p w14:paraId="6762CC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监测方式</w:t>
            </w:r>
          </w:p>
        </w:tc>
        <w:tc>
          <w:tcPr>
            <w:tcW w:w="4211" w:type="dxa"/>
            <w:gridSpan w:val="2"/>
            <w:tcBorders>
              <w:tl2br w:val="nil"/>
              <w:tr2bl w:val="nil"/>
            </w:tcBorders>
            <w:vAlign w:val="center"/>
          </w:tcPr>
          <w:p w14:paraId="4B760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手动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  <w:r>
              <w:rPr>
                <w:rFonts w:hint="eastAsia"/>
                <w:color w:val="auto"/>
                <w:sz w:val="21"/>
                <w:szCs w:val="21"/>
              </w:rPr>
              <w:t>；自动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sym w:font="Wingdings 2" w:char="00A3"/>
            </w:r>
            <w:r>
              <w:rPr>
                <w:rFonts w:hint="eastAsia"/>
                <w:color w:val="auto"/>
                <w:sz w:val="21"/>
                <w:szCs w:val="21"/>
              </w:rPr>
              <w:t>；无监测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4212" w:type="dxa"/>
            <w:gridSpan w:val="2"/>
            <w:tcBorders>
              <w:tl2br w:val="nil"/>
              <w:tr2bl w:val="nil"/>
            </w:tcBorders>
            <w:vAlign w:val="center"/>
          </w:tcPr>
          <w:p w14:paraId="07DDD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手动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☑</w:t>
            </w:r>
            <w:r>
              <w:rPr>
                <w:rFonts w:hint="eastAsia"/>
                <w:color w:val="auto"/>
                <w:sz w:val="21"/>
                <w:szCs w:val="21"/>
              </w:rPr>
              <w:t>；自动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color w:val="auto"/>
                <w:sz w:val="21"/>
                <w:szCs w:val="21"/>
              </w:rPr>
              <w:t>；无监测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</w:p>
        </w:tc>
      </w:tr>
      <w:tr w14:paraId="4B7F03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084312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vMerge w:val="continue"/>
            <w:tcBorders>
              <w:tl2br w:val="nil"/>
              <w:tr2bl w:val="nil"/>
            </w:tcBorders>
            <w:vAlign w:val="center"/>
          </w:tcPr>
          <w:p w14:paraId="647A5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2106" w:type="dxa"/>
            <w:tcBorders>
              <w:tl2br w:val="nil"/>
              <w:tr2bl w:val="nil"/>
            </w:tcBorders>
            <w:vAlign w:val="center"/>
          </w:tcPr>
          <w:p w14:paraId="69AA2C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监测点位</w:t>
            </w:r>
          </w:p>
        </w:tc>
        <w:tc>
          <w:tcPr>
            <w:tcW w:w="4211" w:type="dxa"/>
            <w:gridSpan w:val="2"/>
            <w:tcBorders>
              <w:tl2br w:val="nil"/>
              <w:tr2bl w:val="nil"/>
            </w:tcBorders>
            <w:vAlign w:val="center"/>
          </w:tcPr>
          <w:p w14:paraId="4F5B96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（）</w:t>
            </w:r>
          </w:p>
        </w:tc>
        <w:tc>
          <w:tcPr>
            <w:tcW w:w="4212" w:type="dxa"/>
            <w:gridSpan w:val="2"/>
            <w:tcBorders>
              <w:tl2br w:val="nil"/>
              <w:tr2bl w:val="nil"/>
            </w:tcBorders>
            <w:vAlign w:val="center"/>
          </w:tcPr>
          <w:p w14:paraId="728947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废水处理站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出口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）</w:t>
            </w:r>
          </w:p>
        </w:tc>
      </w:tr>
      <w:tr w14:paraId="1915CA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7039EB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vMerge w:val="continue"/>
            <w:tcBorders>
              <w:tl2br w:val="nil"/>
              <w:tr2bl w:val="nil"/>
            </w:tcBorders>
            <w:vAlign w:val="center"/>
          </w:tcPr>
          <w:p w14:paraId="0600E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2106" w:type="dxa"/>
            <w:tcBorders>
              <w:tl2br w:val="nil"/>
              <w:tr2bl w:val="nil"/>
            </w:tcBorders>
            <w:vAlign w:val="center"/>
          </w:tcPr>
          <w:p w14:paraId="511B31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监测因子</w:t>
            </w:r>
          </w:p>
        </w:tc>
        <w:tc>
          <w:tcPr>
            <w:tcW w:w="4211" w:type="dxa"/>
            <w:gridSpan w:val="2"/>
            <w:tcBorders>
              <w:tl2br w:val="nil"/>
              <w:tr2bl w:val="nil"/>
            </w:tcBorders>
            <w:vAlign w:val="center"/>
          </w:tcPr>
          <w:p w14:paraId="1D8CDA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（）</w:t>
            </w:r>
          </w:p>
        </w:tc>
        <w:tc>
          <w:tcPr>
            <w:tcW w:w="4212" w:type="dxa"/>
            <w:gridSpan w:val="2"/>
            <w:tcBorders>
              <w:tl2br w:val="nil"/>
              <w:tr2bl w:val="nil"/>
            </w:tcBorders>
            <w:vAlign w:val="center"/>
          </w:tcPr>
          <w:p w14:paraId="570000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pH、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COD、氨氮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、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BOD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  <w:vertAlign w:val="subscript"/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</w:rPr>
              <w:t>、SS、总磷、总氮、蛔虫卵、粪大肠菌群数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）</w:t>
            </w:r>
          </w:p>
        </w:tc>
      </w:tr>
      <w:tr w14:paraId="2CA2873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" w:type="dxa"/>
            <w:vMerge w:val="continue"/>
            <w:tcBorders>
              <w:tl2br w:val="nil"/>
              <w:tr2bl w:val="nil"/>
            </w:tcBorders>
            <w:vAlign w:val="center"/>
          </w:tcPr>
          <w:p w14:paraId="78759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tcBorders>
              <w:tl2br w:val="nil"/>
              <w:tr2bl w:val="nil"/>
            </w:tcBorders>
            <w:vAlign w:val="center"/>
          </w:tcPr>
          <w:p w14:paraId="196F30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污染物排放清单</w:t>
            </w:r>
          </w:p>
        </w:tc>
        <w:tc>
          <w:tcPr>
            <w:tcW w:w="10529" w:type="dxa"/>
            <w:gridSpan w:val="5"/>
            <w:tcBorders>
              <w:tl2br w:val="nil"/>
              <w:tr2bl w:val="nil"/>
            </w:tcBorders>
            <w:vAlign w:val="center"/>
          </w:tcPr>
          <w:p w14:paraId="5DB99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□</w:t>
            </w:r>
          </w:p>
        </w:tc>
      </w:tr>
      <w:tr w14:paraId="254112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1" w:type="dxa"/>
            <w:gridSpan w:val="2"/>
            <w:tcBorders>
              <w:tl2br w:val="nil"/>
              <w:tr2bl w:val="nil"/>
            </w:tcBorders>
            <w:vAlign w:val="center"/>
          </w:tcPr>
          <w:p w14:paraId="562CF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评价结论</w:t>
            </w:r>
          </w:p>
        </w:tc>
        <w:tc>
          <w:tcPr>
            <w:tcW w:w="10529" w:type="dxa"/>
            <w:gridSpan w:val="5"/>
            <w:tcBorders>
              <w:tl2br w:val="nil"/>
              <w:tr2bl w:val="nil"/>
            </w:tcBorders>
            <w:vAlign w:val="center"/>
          </w:tcPr>
          <w:p w14:paraId="24ED6B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可以接受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☑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；不可以接受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eastAsia="zh-CN"/>
              </w:rPr>
              <w:t>□</w:t>
            </w:r>
          </w:p>
        </w:tc>
      </w:tr>
      <w:tr w14:paraId="77CA30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40" w:type="dxa"/>
            <w:gridSpan w:val="7"/>
            <w:tcBorders>
              <w:tl2br w:val="nil"/>
              <w:tr2bl w:val="nil"/>
            </w:tcBorders>
            <w:vAlign w:val="center"/>
          </w:tcPr>
          <w:p w14:paraId="22D229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注：“□”为勾选项，可打√；“（）”为内容填写项；“备注”为其他补充内容。</w:t>
            </w:r>
          </w:p>
        </w:tc>
      </w:tr>
    </w:tbl>
    <w:p w14:paraId="36EAD4C4">
      <w:pPr>
        <w:jc w:val="center"/>
        <w:rPr>
          <w:rFonts w:ascii="Times New Roman" w:hAnsi="Times New Roman" w:cs="Times New Roman"/>
          <w:b/>
          <w:bCs/>
          <w:sz w:val="24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FlOGU5MWRmMTFhOTg2MDY4M2I3Y2VhYzM5NDdhOGUifQ=="/>
  </w:docVars>
  <w:rsids>
    <w:rsidRoot w:val="38920701"/>
    <w:rsid w:val="006E67E6"/>
    <w:rsid w:val="00BD54BF"/>
    <w:rsid w:val="00CE65A5"/>
    <w:rsid w:val="015B7143"/>
    <w:rsid w:val="019A2B6C"/>
    <w:rsid w:val="01A60089"/>
    <w:rsid w:val="024144C9"/>
    <w:rsid w:val="02A653E9"/>
    <w:rsid w:val="02DA009E"/>
    <w:rsid w:val="02E15FBC"/>
    <w:rsid w:val="031E4149"/>
    <w:rsid w:val="033B7151"/>
    <w:rsid w:val="03534724"/>
    <w:rsid w:val="042D1AAA"/>
    <w:rsid w:val="044F38F9"/>
    <w:rsid w:val="046601B1"/>
    <w:rsid w:val="051E27CD"/>
    <w:rsid w:val="05307D87"/>
    <w:rsid w:val="053652A9"/>
    <w:rsid w:val="0580712C"/>
    <w:rsid w:val="06031996"/>
    <w:rsid w:val="06226F62"/>
    <w:rsid w:val="065F09A8"/>
    <w:rsid w:val="068906E1"/>
    <w:rsid w:val="07846A2F"/>
    <w:rsid w:val="07B70DFE"/>
    <w:rsid w:val="07ED5295"/>
    <w:rsid w:val="082877FB"/>
    <w:rsid w:val="08552021"/>
    <w:rsid w:val="08615A03"/>
    <w:rsid w:val="088008FA"/>
    <w:rsid w:val="088A1EBC"/>
    <w:rsid w:val="08FB23B2"/>
    <w:rsid w:val="091C7466"/>
    <w:rsid w:val="09567BDD"/>
    <w:rsid w:val="09700F63"/>
    <w:rsid w:val="09C857CD"/>
    <w:rsid w:val="09E5033C"/>
    <w:rsid w:val="0A984BEA"/>
    <w:rsid w:val="0B634D4C"/>
    <w:rsid w:val="0C10412A"/>
    <w:rsid w:val="0C2947F9"/>
    <w:rsid w:val="0D4F699D"/>
    <w:rsid w:val="0D5D62BB"/>
    <w:rsid w:val="0E4365E9"/>
    <w:rsid w:val="0F3F3089"/>
    <w:rsid w:val="0F6446CB"/>
    <w:rsid w:val="0F847377"/>
    <w:rsid w:val="0FDA444F"/>
    <w:rsid w:val="109905C4"/>
    <w:rsid w:val="10B65F68"/>
    <w:rsid w:val="11470CAE"/>
    <w:rsid w:val="1164174F"/>
    <w:rsid w:val="117C13E3"/>
    <w:rsid w:val="12092E9A"/>
    <w:rsid w:val="1288662E"/>
    <w:rsid w:val="12EE5442"/>
    <w:rsid w:val="13BF7D83"/>
    <w:rsid w:val="13C041CF"/>
    <w:rsid w:val="13C17511"/>
    <w:rsid w:val="14006B63"/>
    <w:rsid w:val="141F5ABC"/>
    <w:rsid w:val="14295AF2"/>
    <w:rsid w:val="14460C5A"/>
    <w:rsid w:val="14FF596C"/>
    <w:rsid w:val="150A72F0"/>
    <w:rsid w:val="158915B6"/>
    <w:rsid w:val="15905BC1"/>
    <w:rsid w:val="1691702A"/>
    <w:rsid w:val="16DD358A"/>
    <w:rsid w:val="17053584"/>
    <w:rsid w:val="17D07467"/>
    <w:rsid w:val="17DE106E"/>
    <w:rsid w:val="17F47D42"/>
    <w:rsid w:val="18FF6DF0"/>
    <w:rsid w:val="19010C3D"/>
    <w:rsid w:val="19044570"/>
    <w:rsid w:val="19190848"/>
    <w:rsid w:val="19195C1A"/>
    <w:rsid w:val="19783FA7"/>
    <w:rsid w:val="197B5CE8"/>
    <w:rsid w:val="1A5620F0"/>
    <w:rsid w:val="1A9903D4"/>
    <w:rsid w:val="1B130C0B"/>
    <w:rsid w:val="1B314ECF"/>
    <w:rsid w:val="1B4423C4"/>
    <w:rsid w:val="1BC129F7"/>
    <w:rsid w:val="1C206D90"/>
    <w:rsid w:val="1C8102BA"/>
    <w:rsid w:val="1C8F3E8C"/>
    <w:rsid w:val="1C982DC8"/>
    <w:rsid w:val="1CFB269D"/>
    <w:rsid w:val="1D6D30F0"/>
    <w:rsid w:val="1D912E5E"/>
    <w:rsid w:val="1DB21E60"/>
    <w:rsid w:val="1E3E525C"/>
    <w:rsid w:val="1E510DF0"/>
    <w:rsid w:val="1E7F3A6E"/>
    <w:rsid w:val="1EC634FD"/>
    <w:rsid w:val="1EDF5987"/>
    <w:rsid w:val="1F724895"/>
    <w:rsid w:val="201B12AA"/>
    <w:rsid w:val="20615903"/>
    <w:rsid w:val="20A04541"/>
    <w:rsid w:val="20A73217"/>
    <w:rsid w:val="20CD20E9"/>
    <w:rsid w:val="215310CC"/>
    <w:rsid w:val="218D4840"/>
    <w:rsid w:val="21AA6B9E"/>
    <w:rsid w:val="21DB2D9B"/>
    <w:rsid w:val="21EE33A7"/>
    <w:rsid w:val="22207909"/>
    <w:rsid w:val="22F834FB"/>
    <w:rsid w:val="233219FB"/>
    <w:rsid w:val="23D0179C"/>
    <w:rsid w:val="24810E66"/>
    <w:rsid w:val="24F559AD"/>
    <w:rsid w:val="255B4027"/>
    <w:rsid w:val="256B47EA"/>
    <w:rsid w:val="25E56C3C"/>
    <w:rsid w:val="25EE3AFF"/>
    <w:rsid w:val="265D32FB"/>
    <w:rsid w:val="268F134E"/>
    <w:rsid w:val="26CE22AD"/>
    <w:rsid w:val="27177CFC"/>
    <w:rsid w:val="27753BAF"/>
    <w:rsid w:val="27A67860"/>
    <w:rsid w:val="27B07231"/>
    <w:rsid w:val="28041EAF"/>
    <w:rsid w:val="2809796E"/>
    <w:rsid w:val="281D4B90"/>
    <w:rsid w:val="28A30583"/>
    <w:rsid w:val="291F0DE7"/>
    <w:rsid w:val="292F1F53"/>
    <w:rsid w:val="29610A86"/>
    <w:rsid w:val="29A525EF"/>
    <w:rsid w:val="2A057707"/>
    <w:rsid w:val="2A295A2F"/>
    <w:rsid w:val="2A710341"/>
    <w:rsid w:val="2B105420"/>
    <w:rsid w:val="2B642039"/>
    <w:rsid w:val="2B846C70"/>
    <w:rsid w:val="2BC77515"/>
    <w:rsid w:val="2C771B4F"/>
    <w:rsid w:val="2CC650C5"/>
    <w:rsid w:val="2CF606CE"/>
    <w:rsid w:val="2DE3734F"/>
    <w:rsid w:val="2F016AD9"/>
    <w:rsid w:val="304A73D1"/>
    <w:rsid w:val="306B13AD"/>
    <w:rsid w:val="30AF3AE9"/>
    <w:rsid w:val="314B5307"/>
    <w:rsid w:val="31AC2EA5"/>
    <w:rsid w:val="31D650D5"/>
    <w:rsid w:val="32324C21"/>
    <w:rsid w:val="335372E8"/>
    <w:rsid w:val="33F11C95"/>
    <w:rsid w:val="33FF5E74"/>
    <w:rsid w:val="343539AD"/>
    <w:rsid w:val="34B77FC5"/>
    <w:rsid w:val="354F47F2"/>
    <w:rsid w:val="357E48A5"/>
    <w:rsid w:val="35B7722B"/>
    <w:rsid w:val="35F51D00"/>
    <w:rsid w:val="3750619A"/>
    <w:rsid w:val="377D4B6F"/>
    <w:rsid w:val="378608C6"/>
    <w:rsid w:val="37A668BE"/>
    <w:rsid w:val="384D02FB"/>
    <w:rsid w:val="38920701"/>
    <w:rsid w:val="393C07CE"/>
    <w:rsid w:val="39D34531"/>
    <w:rsid w:val="39ED2F55"/>
    <w:rsid w:val="3A177921"/>
    <w:rsid w:val="3AA97E95"/>
    <w:rsid w:val="3B0C065F"/>
    <w:rsid w:val="3B287B90"/>
    <w:rsid w:val="3B3B6997"/>
    <w:rsid w:val="3C200F42"/>
    <w:rsid w:val="3C4C41E5"/>
    <w:rsid w:val="3C686B1C"/>
    <w:rsid w:val="3C89174D"/>
    <w:rsid w:val="3CA85410"/>
    <w:rsid w:val="3CFC22DF"/>
    <w:rsid w:val="3D2D407B"/>
    <w:rsid w:val="3D4F2F27"/>
    <w:rsid w:val="3F891812"/>
    <w:rsid w:val="3FC240DE"/>
    <w:rsid w:val="3FE759D5"/>
    <w:rsid w:val="400F29F3"/>
    <w:rsid w:val="40A31807"/>
    <w:rsid w:val="40AC3875"/>
    <w:rsid w:val="40FE2979"/>
    <w:rsid w:val="41133285"/>
    <w:rsid w:val="411E52D1"/>
    <w:rsid w:val="415605D4"/>
    <w:rsid w:val="41700EEC"/>
    <w:rsid w:val="418506BE"/>
    <w:rsid w:val="419A09F5"/>
    <w:rsid w:val="42A22FDC"/>
    <w:rsid w:val="42BD0831"/>
    <w:rsid w:val="42CE52AA"/>
    <w:rsid w:val="42DE021F"/>
    <w:rsid w:val="43153D24"/>
    <w:rsid w:val="432F3332"/>
    <w:rsid w:val="43C36D39"/>
    <w:rsid w:val="449561D3"/>
    <w:rsid w:val="44D25865"/>
    <w:rsid w:val="44D73D5C"/>
    <w:rsid w:val="44E66178"/>
    <w:rsid w:val="44E851BB"/>
    <w:rsid w:val="452B3CAC"/>
    <w:rsid w:val="45340312"/>
    <w:rsid w:val="45DE0465"/>
    <w:rsid w:val="460E35B2"/>
    <w:rsid w:val="46575E9E"/>
    <w:rsid w:val="46B24EA6"/>
    <w:rsid w:val="47285791"/>
    <w:rsid w:val="47370B0E"/>
    <w:rsid w:val="48E6038E"/>
    <w:rsid w:val="4913290E"/>
    <w:rsid w:val="495C73B8"/>
    <w:rsid w:val="49681208"/>
    <w:rsid w:val="4A913FEB"/>
    <w:rsid w:val="4AD5599C"/>
    <w:rsid w:val="4B3F308C"/>
    <w:rsid w:val="4BCB2998"/>
    <w:rsid w:val="4C066862"/>
    <w:rsid w:val="4C626970"/>
    <w:rsid w:val="4C6672B7"/>
    <w:rsid w:val="4C833E72"/>
    <w:rsid w:val="4C8A624D"/>
    <w:rsid w:val="4CE07C86"/>
    <w:rsid w:val="4D7F021E"/>
    <w:rsid w:val="4D8152A6"/>
    <w:rsid w:val="4DD07FDD"/>
    <w:rsid w:val="4EB971E0"/>
    <w:rsid w:val="4EDC5EFF"/>
    <w:rsid w:val="4EED39E8"/>
    <w:rsid w:val="4F0B4988"/>
    <w:rsid w:val="50170F0C"/>
    <w:rsid w:val="505B1D02"/>
    <w:rsid w:val="505F3AA9"/>
    <w:rsid w:val="50D65247"/>
    <w:rsid w:val="512B01C6"/>
    <w:rsid w:val="51603364"/>
    <w:rsid w:val="51893444"/>
    <w:rsid w:val="523D2AA3"/>
    <w:rsid w:val="52577ECA"/>
    <w:rsid w:val="52AC3297"/>
    <w:rsid w:val="52B03ABE"/>
    <w:rsid w:val="52FA3949"/>
    <w:rsid w:val="53235AD6"/>
    <w:rsid w:val="53766231"/>
    <w:rsid w:val="53AA47DD"/>
    <w:rsid w:val="546B1677"/>
    <w:rsid w:val="54C7052D"/>
    <w:rsid w:val="54D3108A"/>
    <w:rsid w:val="55352823"/>
    <w:rsid w:val="55631B33"/>
    <w:rsid w:val="55915D86"/>
    <w:rsid w:val="559B6D93"/>
    <w:rsid w:val="55DD3427"/>
    <w:rsid w:val="55F21242"/>
    <w:rsid w:val="55FF2AE2"/>
    <w:rsid w:val="565A42BC"/>
    <w:rsid w:val="56773E05"/>
    <w:rsid w:val="56A83E2C"/>
    <w:rsid w:val="56B260A6"/>
    <w:rsid w:val="56D85F19"/>
    <w:rsid w:val="586A4D0F"/>
    <w:rsid w:val="588A0B8E"/>
    <w:rsid w:val="589D4F6E"/>
    <w:rsid w:val="58BB2BE4"/>
    <w:rsid w:val="597758D4"/>
    <w:rsid w:val="597A7D5A"/>
    <w:rsid w:val="598F3012"/>
    <w:rsid w:val="59C717A8"/>
    <w:rsid w:val="59F00F7F"/>
    <w:rsid w:val="59F75550"/>
    <w:rsid w:val="5A017797"/>
    <w:rsid w:val="5A3C01EA"/>
    <w:rsid w:val="5A5F2E3F"/>
    <w:rsid w:val="5A785827"/>
    <w:rsid w:val="5AD22C88"/>
    <w:rsid w:val="5B242884"/>
    <w:rsid w:val="5B772DF6"/>
    <w:rsid w:val="5BD47102"/>
    <w:rsid w:val="5BEE2503"/>
    <w:rsid w:val="5C91165A"/>
    <w:rsid w:val="5CB475A6"/>
    <w:rsid w:val="5D0E42EB"/>
    <w:rsid w:val="5DFE30EC"/>
    <w:rsid w:val="5E030D0B"/>
    <w:rsid w:val="5E146CB0"/>
    <w:rsid w:val="5F0E4A3C"/>
    <w:rsid w:val="5F592F97"/>
    <w:rsid w:val="5FBA6245"/>
    <w:rsid w:val="5FE73F9F"/>
    <w:rsid w:val="5FF66947"/>
    <w:rsid w:val="603F2B17"/>
    <w:rsid w:val="61821717"/>
    <w:rsid w:val="61B5668F"/>
    <w:rsid w:val="61B764F5"/>
    <w:rsid w:val="61C527B0"/>
    <w:rsid w:val="626B4987"/>
    <w:rsid w:val="63045213"/>
    <w:rsid w:val="63A17D02"/>
    <w:rsid w:val="63DE22AE"/>
    <w:rsid w:val="6442704C"/>
    <w:rsid w:val="65D165D6"/>
    <w:rsid w:val="65F803FC"/>
    <w:rsid w:val="660324A6"/>
    <w:rsid w:val="66255972"/>
    <w:rsid w:val="662B42CD"/>
    <w:rsid w:val="66771836"/>
    <w:rsid w:val="66CC3912"/>
    <w:rsid w:val="66F272B0"/>
    <w:rsid w:val="6738079C"/>
    <w:rsid w:val="677100F1"/>
    <w:rsid w:val="67CB33BD"/>
    <w:rsid w:val="681A1EDE"/>
    <w:rsid w:val="68BF4BD2"/>
    <w:rsid w:val="695A5DDA"/>
    <w:rsid w:val="69745792"/>
    <w:rsid w:val="6A01458B"/>
    <w:rsid w:val="6A064187"/>
    <w:rsid w:val="6A8C06CC"/>
    <w:rsid w:val="6BC0650C"/>
    <w:rsid w:val="6C3D17A2"/>
    <w:rsid w:val="6D7B6284"/>
    <w:rsid w:val="6DDD67A0"/>
    <w:rsid w:val="6E5D25CB"/>
    <w:rsid w:val="6E61677C"/>
    <w:rsid w:val="6E714EA9"/>
    <w:rsid w:val="6EC1001A"/>
    <w:rsid w:val="6F03602C"/>
    <w:rsid w:val="6F666DAC"/>
    <w:rsid w:val="6F7A302A"/>
    <w:rsid w:val="6FC5537D"/>
    <w:rsid w:val="6FDE620D"/>
    <w:rsid w:val="709D18A1"/>
    <w:rsid w:val="70F51D88"/>
    <w:rsid w:val="713F43CE"/>
    <w:rsid w:val="71EF23B1"/>
    <w:rsid w:val="72584897"/>
    <w:rsid w:val="725C073F"/>
    <w:rsid w:val="72EB3131"/>
    <w:rsid w:val="737B3956"/>
    <w:rsid w:val="73C74596"/>
    <w:rsid w:val="73C94819"/>
    <w:rsid w:val="740C131C"/>
    <w:rsid w:val="741F5D88"/>
    <w:rsid w:val="74652946"/>
    <w:rsid w:val="74677FEA"/>
    <w:rsid w:val="74976AF1"/>
    <w:rsid w:val="749A293C"/>
    <w:rsid w:val="74DF10EC"/>
    <w:rsid w:val="751B2424"/>
    <w:rsid w:val="763D5972"/>
    <w:rsid w:val="77906233"/>
    <w:rsid w:val="77F63024"/>
    <w:rsid w:val="78E20305"/>
    <w:rsid w:val="790B73C6"/>
    <w:rsid w:val="79E1187D"/>
    <w:rsid w:val="79F60CE3"/>
    <w:rsid w:val="7B270223"/>
    <w:rsid w:val="7B2D5E2B"/>
    <w:rsid w:val="7BE03740"/>
    <w:rsid w:val="7C925F45"/>
    <w:rsid w:val="7CB273E7"/>
    <w:rsid w:val="7D6B0F58"/>
    <w:rsid w:val="7DB2716F"/>
    <w:rsid w:val="7E157B14"/>
    <w:rsid w:val="7E310349"/>
    <w:rsid w:val="7F4C7BEA"/>
    <w:rsid w:val="7FC667A5"/>
    <w:rsid w:val="7FFD6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sz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2037</Words>
  <Characters>2092</Characters>
  <Lines>15</Lines>
  <Paragraphs>4</Paragraphs>
  <TotalTime>40</TotalTime>
  <ScaleCrop>false</ScaleCrop>
  <LinksUpToDate>false</LinksUpToDate>
  <CharactersWithSpaces>2102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2019-03-08T07:07:00Z</dcterms:created>
  <dc:creator>W文昊</dc:creator>
  <cp:lastModifiedBy>AboutcaT</cp:lastModifiedBy>
  <dcterms:modified xsi:type="dcterms:W3CDTF">2024-10-22T02:15:34Z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9004BCB6645244F6AE33C49B75EFC585</vt:lpwstr>
  </property>
</Properties>
</file>